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10/04/2026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RAFAEL LAVADOR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10/04/2026.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RAFAEL LAVADOR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